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8834" w14:textId="77777777" w:rsidR="00885432" w:rsidRPr="00445CB0" w:rsidRDefault="00885432" w:rsidP="00885432">
      <w:pPr>
        <w:rPr>
          <w:rFonts w:ascii="ＭＳ ゴシック" w:eastAsia="ＭＳ ゴシック" w:hAnsi="ＭＳ ゴシック" w:hint="eastAsia"/>
          <w:sz w:val="32"/>
          <w:szCs w:val="32"/>
        </w:rPr>
      </w:pPr>
      <w:r w:rsidRPr="00445CB0">
        <w:rPr>
          <w:rFonts w:ascii="ＭＳ ゴシック" w:eastAsia="ＭＳ ゴシック" w:hAnsi="ＭＳ ゴシック" w:hint="eastAsia"/>
          <w:sz w:val="32"/>
          <w:szCs w:val="32"/>
          <w:highlight w:val="cyan"/>
        </w:rPr>
        <w:t>国民健康保険税の計算に用いる総所得金額等</w:t>
      </w:r>
    </w:p>
    <w:p w14:paraId="17376CD0" w14:textId="77777777" w:rsidR="00885432" w:rsidRDefault="00885432" w:rsidP="00885432">
      <w:pPr>
        <w:rPr>
          <w:rFonts w:ascii="ＭＳ ゴシック" w:eastAsia="ＭＳ ゴシック" w:hAnsi="ＭＳ ゴシック"/>
        </w:rPr>
      </w:pPr>
    </w:p>
    <w:p w14:paraId="60B3C848" w14:textId="77777777" w:rsidR="00445CB0" w:rsidRDefault="00445CB0" w:rsidP="00885432">
      <w:pPr>
        <w:rPr>
          <w:rFonts w:ascii="ＭＳ ゴシック" w:eastAsia="ＭＳ ゴシック" w:hAnsi="ＭＳ ゴシック"/>
        </w:rPr>
      </w:pPr>
    </w:p>
    <w:p w14:paraId="58D338E1" w14:textId="77777777" w:rsidR="00445CB0" w:rsidRPr="00445CB0" w:rsidRDefault="00445CB0" w:rsidP="00885432">
      <w:pPr>
        <w:rPr>
          <w:rFonts w:ascii="ＭＳ ゴシック" w:eastAsia="ＭＳ ゴシック" w:hAnsi="ＭＳ ゴシック" w:hint="eastAsia"/>
        </w:rPr>
      </w:pPr>
    </w:p>
    <w:p w14:paraId="445626BA" w14:textId="77777777" w:rsidR="00885432" w:rsidRPr="00445CB0" w:rsidRDefault="00885432" w:rsidP="00885432">
      <w:pPr>
        <w:rPr>
          <w:rFonts w:ascii="ＭＳ ゴシック" w:eastAsia="ＭＳ ゴシック" w:hAnsi="ＭＳ ゴシック"/>
          <w:b/>
          <w:bCs/>
          <w:sz w:val="28"/>
          <w:szCs w:val="28"/>
        </w:rPr>
      </w:pPr>
      <w:r w:rsidRPr="00445CB0">
        <w:rPr>
          <w:rFonts w:ascii="ＭＳ ゴシック" w:eastAsia="ＭＳ ゴシック" w:hAnsi="ＭＳ ゴシック" w:hint="eastAsia"/>
          <w:b/>
          <w:bCs/>
          <w:sz w:val="28"/>
          <w:szCs w:val="28"/>
        </w:rPr>
        <w:t>総所得金額等とは（国民健康保険税の所得割の算定に用いる金額）</w:t>
      </w:r>
    </w:p>
    <w:p w14:paraId="46B8FB8D" w14:textId="615B0557" w:rsidR="00445CB0" w:rsidRPr="00445CB0" w:rsidRDefault="00445CB0" w:rsidP="00885432">
      <w:pPr>
        <w:rPr>
          <w:rFonts w:ascii="ＭＳ ゴシック" w:eastAsia="ＭＳ ゴシック" w:hAnsi="ＭＳ ゴシック" w:hint="eastAsia"/>
          <w:b/>
          <w:bCs/>
        </w:rPr>
      </w:pPr>
      <w:r>
        <w:rPr>
          <w:rFonts w:ascii="ＭＳ ゴシック" w:eastAsia="ＭＳ ゴシック" w:hAnsi="ＭＳ ゴシック" w:hint="eastAsia"/>
          <w:b/>
          <w:bCs/>
          <w:noProof/>
          <w:lang w:val="ja-JP"/>
          <w14:ligatures w14:val="standardContextual"/>
        </w:rPr>
        <mc:AlternateContent>
          <mc:Choice Requires="wps">
            <w:drawing>
              <wp:anchor distT="0" distB="0" distL="114300" distR="114300" simplePos="0" relativeHeight="251659264" behindDoc="0" locked="0" layoutInCell="1" allowOverlap="1" wp14:anchorId="7BE8D58F" wp14:editId="0B41E034">
                <wp:simplePos x="0" y="0"/>
                <wp:positionH relativeFrom="column">
                  <wp:posOffset>3810</wp:posOffset>
                </wp:positionH>
                <wp:positionV relativeFrom="paragraph">
                  <wp:posOffset>46553</wp:posOffset>
                </wp:positionV>
                <wp:extent cx="6610662" cy="0"/>
                <wp:effectExtent l="0" t="38100" r="57150" b="57150"/>
                <wp:wrapNone/>
                <wp:docPr id="410419141" name="直線コネクタ 1"/>
                <wp:cNvGraphicFramePr/>
                <a:graphic xmlns:a="http://schemas.openxmlformats.org/drawingml/2006/main">
                  <a:graphicData uri="http://schemas.microsoft.com/office/word/2010/wordprocessingShape">
                    <wps:wsp>
                      <wps:cNvCnPr/>
                      <wps:spPr>
                        <a:xfrm>
                          <a:off x="0" y="0"/>
                          <a:ext cx="6610662" cy="0"/>
                        </a:xfrm>
                        <a:prstGeom prst="line">
                          <a:avLst/>
                        </a:prstGeom>
                        <a:ln w="85725" cmpd="sng">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CDA35"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65pt" to="520.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" strokecolor="#92d050" strokeweight="6.75pt">
                <v:stroke joinstyle="miter"/>
              </v:line>
            </w:pict>
          </mc:Fallback>
        </mc:AlternateContent>
      </w:r>
      <w:r>
        <w:rPr>
          <w:rFonts w:ascii="ＭＳ ゴシック" w:eastAsia="ＭＳ ゴシック" w:hAnsi="ＭＳ ゴシック" w:hint="eastAsia"/>
          <w:b/>
          <w:bCs/>
        </w:rPr>
        <w:t xml:space="preserve">　　　　　　　　　　　　　　　　　　　　　　　　　　　　　　　　　　　　　　　　　　　</w:t>
      </w:r>
    </w:p>
    <w:p w14:paraId="38188C21"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総所得金額等とは、利子所得・配当所得・不動産所得・事業所得・給与所得・譲渡所得・一時所得・雑所得・退職所得・山林所得・分離課税の所得（上場株式等に係る配当所得等・土地、建物等に係る長期譲渡所得・土地、建物等に係る短期譲渡所得・土地等に係る事業所得等・一般株式等に係る譲渡所得等・上場株式等に係る譲渡所得等・先物取引に係る雑所得等・条約適用利子等の額、条約適用配当等の額）の合計額となります。</w:t>
      </w:r>
    </w:p>
    <w:p w14:paraId="20C4B0AC" w14:textId="77777777" w:rsidR="00885432" w:rsidRPr="00445CB0" w:rsidRDefault="00885432" w:rsidP="00885432">
      <w:pPr>
        <w:rPr>
          <w:rFonts w:ascii="ＭＳ ゴシック" w:eastAsia="ＭＳ ゴシック" w:hAnsi="ＭＳ ゴシック" w:hint="eastAsia"/>
        </w:rPr>
      </w:pPr>
    </w:p>
    <w:p w14:paraId="34BA726E"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国民健康保険税の所得割額の算定に用いる総所得金額等の取扱いは、次のとおりです。</w:t>
      </w:r>
    </w:p>
    <w:p w14:paraId="6FC4A56C" w14:textId="77777777" w:rsidR="00885432" w:rsidRPr="00445CB0" w:rsidRDefault="00885432" w:rsidP="00885432">
      <w:pPr>
        <w:rPr>
          <w:rFonts w:ascii="ＭＳ ゴシック" w:eastAsia="ＭＳ ゴシック" w:hAnsi="ＭＳ ゴシック" w:hint="eastAsia"/>
        </w:rPr>
      </w:pPr>
    </w:p>
    <w:p w14:paraId="660B1AAA" w14:textId="2DA34AAB" w:rsidR="00885432" w:rsidRPr="00445CB0" w:rsidRDefault="00445CB0" w:rsidP="00885432">
      <w:pPr>
        <w:rPr>
          <w:rFonts w:ascii="ＭＳ ゴシック" w:eastAsia="ＭＳ ゴシック" w:hAnsi="ＭＳ ゴシック" w:hint="eastAsia"/>
          <w:b/>
          <w:bCs/>
        </w:rPr>
      </w:pPr>
      <w:r w:rsidRPr="00445CB0">
        <w:rPr>
          <w:rFonts w:ascii="ＭＳ ゴシック" w:eastAsia="ＭＳ ゴシック" w:hAnsi="ＭＳ ゴシック" w:hint="eastAsia"/>
          <w:b/>
          <w:bCs/>
        </w:rPr>
        <w:t>１、</w:t>
      </w:r>
      <w:r w:rsidR="00885432" w:rsidRPr="00445CB0">
        <w:rPr>
          <w:rFonts w:ascii="ＭＳ ゴシック" w:eastAsia="ＭＳ ゴシック" w:hAnsi="ＭＳ ゴシック" w:hint="eastAsia"/>
          <w:b/>
          <w:bCs/>
        </w:rPr>
        <w:t>退職所得</w:t>
      </w:r>
    </w:p>
    <w:p w14:paraId="530AE477" w14:textId="77777777" w:rsidR="00885432" w:rsidRPr="00445CB0" w:rsidRDefault="00885432" w:rsidP="00445CB0">
      <w:pPr>
        <w:ind w:firstLineChars="200" w:firstLine="480"/>
        <w:rPr>
          <w:rFonts w:ascii="ＭＳ ゴシック" w:eastAsia="ＭＳ ゴシック" w:hAnsi="ＭＳ ゴシック" w:hint="eastAsia"/>
        </w:rPr>
      </w:pPr>
      <w:r w:rsidRPr="00445CB0">
        <w:rPr>
          <w:rFonts w:ascii="ＭＳ ゴシック" w:eastAsia="ＭＳ ゴシック" w:hAnsi="ＭＳ ゴシック" w:hint="eastAsia"/>
        </w:rPr>
        <w:t>退職金を一時金として受け取る場合は、国民健康保険税の所得割額の計算に用いる総所得金額等に含めません。</w:t>
      </w:r>
    </w:p>
    <w:p w14:paraId="63EB9AF8" w14:textId="26F3B75F" w:rsidR="00885432" w:rsidRPr="00445CB0" w:rsidRDefault="00445CB0" w:rsidP="00885432">
      <w:pPr>
        <w:rPr>
          <w:rFonts w:ascii="ＭＳ ゴシック" w:eastAsia="ＭＳ ゴシック" w:hAnsi="ＭＳ ゴシック" w:hint="eastAsia"/>
          <w:b/>
          <w:bCs/>
        </w:rPr>
      </w:pPr>
      <w:r w:rsidRPr="00445CB0">
        <w:rPr>
          <w:rFonts w:ascii="ＭＳ ゴシック" w:eastAsia="ＭＳ ゴシック" w:hAnsi="ＭＳ ゴシック" w:hint="eastAsia"/>
          <w:b/>
          <w:bCs/>
        </w:rPr>
        <w:t>２、</w:t>
      </w:r>
      <w:r w:rsidR="00885432" w:rsidRPr="00445CB0">
        <w:rPr>
          <w:rFonts w:ascii="ＭＳ ゴシック" w:eastAsia="ＭＳ ゴシック" w:hAnsi="ＭＳ ゴシック" w:hint="eastAsia"/>
          <w:b/>
          <w:bCs/>
        </w:rPr>
        <w:t>分離課税の所得</w:t>
      </w:r>
    </w:p>
    <w:p w14:paraId="60A511F4" w14:textId="77777777" w:rsidR="00885432" w:rsidRPr="00445CB0" w:rsidRDefault="00885432" w:rsidP="00445CB0">
      <w:pPr>
        <w:ind w:firstLineChars="200" w:firstLine="480"/>
        <w:rPr>
          <w:rFonts w:ascii="ＭＳ ゴシック" w:eastAsia="ＭＳ ゴシック" w:hAnsi="ＭＳ ゴシック" w:hint="eastAsia"/>
        </w:rPr>
      </w:pPr>
      <w:r w:rsidRPr="00445CB0">
        <w:rPr>
          <w:rFonts w:ascii="ＭＳ ゴシック" w:eastAsia="ＭＳ ゴシック" w:hAnsi="ＭＳ ゴシック" w:hint="eastAsia"/>
        </w:rPr>
        <w:t>特別控除の適用がある場合は、特別控除後の所得を用います。</w:t>
      </w:r>
    </w:p>
    <w:p w14:paraId="37AEB321" w14:textId="352FE8BD" w:rsidR="00885432" w:rsidRPr="00445CB0" w:rsidRDefault="00445CB0" w:rsidP="00885432">
      <w:pPr>
        <w:rPr>
          <w:rFonts w:ascii="ＭＳ ゴシック" w:eastAsia="ＭＳ ゴシック" w:hAnsi="ＭＳ ゴシック" w:hint="eastAsia"/>
          <w:b/>
          <w:bCs/>
        </w:rPr>
      </w:pPr>
      <w:r w:rsidRPr="00445CB0">
        <w:rPr>
          <w:rFonts w:ascii="ＭＳ ゴシック" w:eastAsia="ＭＳ ゴシック" w:hAnsi="ＭＳ ゴシック" w:hint="eastAsia"/>
          <w:b/>
          <w:bCs/>
        </w:rPr>
        <w:t>３、</w:t>
      </w:r>
      <w:r w:rsidR="00885432" w:rsidRPr="00445CB0">
        <w:rPr>
          <w:rFonts w:ascii="ＭＳ ゴシック" w:eastAsia="ＭＳ ゴシック" w:hAnsi="ＭＳ ゴシック" w:hint="eastAsia"/>
          <w:b/>
          <w:bCs/>
        </w:rPr>
        <w:t>雑損失の繰越控除</w:t>
      </w:r>
    </w:p>
    <w:p w14:paraId="441ACBA2" w14:textId="77777777" w:rsidR="00885432" w:rsidRPr="00445CB0" w:rsidRDefault="00885432" w:rsidP="00445CB0">
      <w:pPr>
        <w:ind w:firstLineChars="200" w:firstLine="480"/>
        <w:rPr>
          <w:rFonts w:ascii="ＭＳ ゴシック" w:eastAsia="ＭＳ ゴシック" w:hAnsi="ＭＳ ゴシック" w:hint="eastAsia"/>
        </w:rPr>
      </w:pPr>
      <w:r w:rsidRPr="00445CB0">
        <w:rPr>
          <w:rFonts w:ascii="ＭＳ ゴシック" w:eastAsia="ＭＳ ゴシック" w:hAnsi="ＭＳ ゴシック" w:hint="eastAsia"/>
        </w:rPr>
        <w:t>雑損失の繰越控除の適用がある場合は、適用前の所得を用います。</w:t>
      </w:r>
    </w:p>
    <w:p w14:paraId="5302ED1A" w14:textId="4488D31A" w:rsidR="00885432" w:rsidRPr="00445CB0" w:rsidRDefault="00445CB0" w:rsidP="00885432">
      <w:pPr>
        <w:rPr>
          <w:rFonts w:ascii="ＭＳ ゴシック" w:eastAsia="ＭＳ ゴシック" w:hAnsi="ＭＳ ゴシック" w:hint="eastAsia"/>
          <w:b/>
          <w:bCs/>
        </w:rPr>
      </w:pPr>
      <w:r w:rsidRPr="00445CB0">
        <w:rPr>
          <w:rFonts w:ascii="ＭＳ ゴシック" w:eastAsia="ＭＳ ゴシック" w:hAnsi="ＭＳ ゴシック" w:hint="eastAsia"/>
          <w:b/>
          <w:bCs/>
        </w:rPr>
        <w:t>４、</w:t>
      </w:r>
      <w:r w:rsidR="00885432" w:rsidRPr="00445CB0">
        <w:rPr>
          <w:rFonts w:ascii="ＭＳ ゴシック" w:eastAsia="ＭＳ ゴシック" w:hAnsi="ＭＳ ゴシック" w:hint="eastAsia"/>
          <w:b/>
          <w:bCs/>
        </w:rPr>
        <w:t>純損失の繰越控除</w:t>
      </w:r>
    </w:p>
    <w:p w14:paraId="324EE3D3" w14:textId="77777777" w:rsidR="00885432" w:rsidRPr="00445CB0" w:rsidRDefault="00885432" w:rsidP="00445CB0">
      <w:pPr>
        <w:ind w:firstLineChars="200" w:firstLine="480"/>
        <w:rPr>
          <w:rFonts w:ascii="ＭＳ ゴシック" w:eastAsia="ＭＳ ゴシック" w:hAnsi="ＭＳ ゴシック" w:hint="eastAsia"/>
        </w:rPr>
      </w:pPr>
      <w:r w:rsidRPr="00445CB0">
        <w:rPr>
          <w:rFonts w:ascii="ＭＳ ゴシック" w:eastAsia="ＭＳ ゴシック" w:hAnsi="ＭＳ ゴシック" w:hint="eastAsia"/>
        </w:rPr>
        <w:t>純損失の繰越控除の適用がある場合は、適用後の所得を用います。</w:t>
      </w:r>
    </w:p>
    <w:p w14:paraId="1786E647" w14:textId="3C48F985" w:rsidR="00885432" w:rsidRPr="00445CB0" w:rsidRDefault="00445CB0" w:rsidP="00885432">
      <w:pPr>
        <w:rPr>
          <w:rFonts w:ascii="ＭＳ ゴシック" w:eastAsia="ＭＳ ゴシック" w:hAnsi="ＭＳ ゴシック" w:hint="eastAsia"/>
          <w:b/>
          <w:bCs/>
        </w:rPr>
      </w:pPr>
      <w:r w:rsidRPr="00445CB0">
        <w:rPr>
          <w:rFonts w:ascii="ＭＳ ゴシック" w:eastAsia="ＭＳ ゴシック" w:hAnsi="ＭＳ ゴシック" w:hint="eastAsia"/>
          <w:b/>
          <w:bCs/>
        </w:rPr>
        <w:t>５、</w:t>
      </w:r>
      <w:r w:rsidR="00885432" w:rsidRPr="00445CB0">
        <w:rPr>
          <w:rFonts w:ascii="ＭＳ ゴシック" w:eastAsia="ＭＳ ゴシック" w:hAnsi="ＭＳ ゴシック" w:hint="eastAsia"/>
          <w:b/>
          <w:bCs/>
        </w:rPr>
        <w:t>配当所得及び譲渡所得</w:t>
      </w:r>
    </w:p>
    <w:p w14:paraId="2D3CF65B" w14:textId="77777777" w:rsidR="00885432" w:rsidRPr="00445CB0" w:rsidRDefault="00885432" w:rsidP="00445CB0">
      <w:pPr>
        <w:rPr>
          <w:rFonts w:ascii="ＭＳ ゴシック" w:eastAsia="ＭＳ ゴシック" w:hAnsi="ＭＳ ゴシック" w:hint="eastAsia"/>
        </w:rPr>
      </w:pPr>
      <w:r w:rsidRPr="00445CB0">
        <w:rPr>
          <w:rFonts w:ascii="ＭＳ ゴシック" w:eastAsia="ＭＳ ゴシック" w:hAnsi="ＭＳ ゴシック" w:hint="eastAsia"/>
        </w:rPr>
        <w:t>上場株式等に係る配当所得等及び特定口座による上場株式等に係る譲渡所得等については、源泉徴収のみで課税関係を終了することができます（申告不要制度といいます）。この場合、これらの所得は国民健康保険税の所得割額の計算に用いる総所得金額等には含めません。</w:t>
      </w:r>
    </w:p>
    <w:p w14:paraId="16C3BC41"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しかし、他の口座との損益通算や譲渡損失の繰越控除等の適用を受けるために、確定申告により申告を行うこともできます。確定申告をされた場合は、これらの所得も国民健康保険税の所得割額の計算に用いる総所得金額等に含まれることとなります。</w:t>
      </w:r>
    </w:p>
    <w:p w14:paraId="6E19D01E"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 xml:space="preserve">ただし、これらの所得について確定申告をされた場合であっても、所得税とは別に個人住民税において申告不要制度を選択した場合は、これらの所得は国民健康保険税の所得割額の計算に用いる総所得金額等には含めません。国民健康保険税は、個人住民税の課税の取扱に準ずるためです。　</w:t>
      </w:r>
    </w:p>
    <w:p w14:paraId="6F520C2D" w14:textId="77777777" w:rsidR="00885432" w:rsidRPr="00445CB0" w:rsidRDefault="00885432" w:rsidP="00885432">
      <w:pPr>
        <w:rPr>
          <w:rFonts w:ascii="ＭＳ ゴシック" w:eastAsia="ＭＳ ゴシック" w:hAnsi="ＭＳ ゴシック" w:hint="eastAsia"/>
        </w:rPr>
      </w:pPr>
    </w:p>
    <w:p w14:paraId="39AA0F29"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 xml:space="preserve">上場株式等に係る配当所得等及び特定口座による上場株式等に係る譲渡所得等の取扱は以下のとおりです。　　　　　　</w:t>
      </w:r>
    </w:p>
    <w:p w14:paraId="4C1478A0" w14:textId="77777777" w:rsidR="00885432" w:rsidRPr="00445CB0" w:rsidRDefault="00885432" w:rsidP="00885432">
      <w:pPr>
        <w:rPr>
          <w:rFonts w:ascii="ＭＳ ゴシック" w:eastAsia="ＭＳ ゴシック" w:hAnsi="ＭＳ ゴシック" w:hint="eastAsia"/>
        </w:rPr>
      </w:pPr>
    </w:p>
    <w:p w14:paraId="48647F12"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【令和5年度（令和4年所得分）まで】</w:t>
      </w:r>
    </w:p>
    <w:p w14:paraId="526BB36C"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（1）確定申告をしない場合</w:t>
      </w:r>
    </w:p>
    <w:p w14:paraId="08CF26EE"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国民健康保険税の計算対象とならない</w:t>
      </w:r>
    </w:p>
    <w:p w14:paraId="0E153322" w14:textId="77777777" w:rsidR="00885432" w:rsidRPr="00445CB0" w:rsidRDefault="00885432" w:rsidP="00885432">
      <w:pPr>
        <w:rPr>
          <w:rFonts w:ascii="ＭＳ ゴシック" w:eastAsia="ＭＳ ゴシック" w:hAnsi="ＭＳ ゴシック" w:hint="eastAsia"/>
        </w:rPr>
      </w:pPr>
    </w:p>
    <w:p w14:paraId="5E575B71"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（2）確定申告して、個人住民税における申告不要制度を選択する場合</w:t>
      </w:r>
    </w:p>
    <w:p w14:paraId="585BF1D0"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国民健康保険税の計算対象とならない</w:t>
      </w:r>
    </w:p>
    <w:p w14:paraId="5A58AAC0"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※令和6年度より廃止</w:t>
      </w:r>
    </w:p>
    <w:p w14:paraId="169B8110" w14:textId="77777777" w:rsidR="00885432" w:rsidRPr="00445CB0" w:rsidRDefault="00885432" w:rsidP="00885432">
      <w:pPr>
        <w:rPr>
          <w:rFonts w:ascii="ＭＳ ゴシック" w:eastAsia="ＭＳ ゴシック" w:hAnsi="ＭＳ ゴシック" w:hint="eastAsia"/>
        </w:rPr>
      </w:pPr>
    </w:p>
    <w:p w14:paraId="66B2F935"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（3）確定申告して、個人住民税における申告不要制度を選択しない場合</w:t>
      </w:r>
    </w:p>
    <w:p w14:paraId="7B0F6182"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国民健康保険税の計算対象となる</w:t>
      </w:r>
    </w:p>
    <w:p w14:paraId="181CB0B7" w14:textId="77777777" w:rsidR="00885432" w:rsidRPr="00445CB0" w:rsidRDefault="00885432" w:rsidP="00885432">
      <w:pPr>
        <w:rPr>
          <w:rFonts w:ascii="ＭＳ ゴシック" w:eastAsia="ＭＳ ゴシック" w:hAnsi="ＭＳ ゴシック" w:hint="eastAsia"/>
        </w:rPr>
      </w:pPr>
    </w:p>
    <w:p w14:paraId="1FB412F5"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【令和6年度（令和5年所得分）以降】</w:t>
      </w:r>
    </w:p>
    <w:p w14:paraId="5A47F680"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（1）確定申告をしない場合</w:t>
      </w:r>
    </w:p>
    <w:p w14:paraId="15C880DE"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国民健康保険税の計算対象とならない</w:t>
      </w:r>
    </w:p>
    <w:p w14:paraId="48047B7F" w14:textId="77777777" w:rsidR="00885432" w:rsidRPr="00445CB0" w:rsidRDefault="00885432" w:rsidP="00885432">
      <w:pPr>
        <w:rPr>
          <w:rFonts w:ascii="ＭＳ ゴシック" w:eastAsia="ＭＳ ゴシック" w:hAnsi="ＭＳ ゴシック" w:hint="eastAsia"/>
        </w:rPr>
      </w:pPr>
    </w:p>
    <w:p w14:paraId="6F028F7A"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（2）確定申告をした場合</w:t>
      </w:r>
    </w:p>
    <w:p w14:paraId="50471B14"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国民健康保険税の計算対象となる</w:t>
      </w:r>
    </w:p>
    <w:p w14:paraId="52E6AD80"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令和6年度（令和5年所得分）より、所得税と市民税・県民税の課税方式が統一されることとなり、異なる課税方式を選択することができなくなります。これにより、確定申告において申告した所得については、市民税・県民税の「合計所得金額」に算入されるため、国民健康保険税の算定対象となります。</w:t>
      </w:r>
    </w:p>
    <w:p w14:paraId="769ADC2A" w14:textId="77777777" w:rsidR="00885432" w:rsidRPr="00445CB0" w:rsidRDefault="00885432" w:rsidP="00885432">
      <w:pPr>
        <w:rPr>
          <w:rFonts w:ascii="ＭＳ ゴシック" w:eastAsia="ＭＳ ゴシック" w:hAnsi="ＭＳ ゴシック" w:hint="eastAsia"/>
        </w:rPr>
      </w:pPr>
    </w:p>
    <w:p w14:paraId="2DFD4134"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均等割額の軽減を判定するのに用いる所得については、取扱いが異なるものがあります。</w:t>
      </w:r>
    </w:p>
    <w:p w14:paraId="67BB2ACD" w14:textId="77777777" w:rsidR="00885432" w:rsidRPr="00445CB0" w:rsidRDefault="00885432" w:rsidP="00885432">
      <w:pPr>
        <w:rPr>
          <w:rFonts w:ascii="ＭＳ ゴシック" w:eastAsia="ＭＳ ゴシック" w:hAnsi="ＭＳ ゴシック" w:hint="eastAsia"/>
        </w:rPr>
      </w:pPr>
      <w:r w:rsidRPr="00445CB0">
        <w:rPr>
          <w:rFonts w:ascii="ＭＳ ゴシック" w:eastAsia="ＭＳ ゴシック" w:hAnsi="ＭＳ ゴシック" w:hint="eastAsia"/>
        </w:rPr>
        <w:t>詳細は以下「均等割額の軽減」をご覧ください。</w:t>
      </w:r>
    </w:p>
    <w:p w14:paraId="68BCA527" w14:textId="5FC79838" w:rsidR="00885432" w:rsidRPr="00445CB0" w:rsidRDefault="00885432" w:rsidP="00885432">
      <w:pPr>
        <w:rPr>
          <w:rFonts w:ascii="ＭＳ ゴシック" w:eastAsia="ＭＳ ゴシック" w:hAnsi="ＭＳ ゴシック" w:hint="eastAsia"/>
        </w:rPr>
      </w:pPr>
    </w:p>
    <w:p w14:paraId="38C511C8" w14:textId="77777777" w:rsidR="00D93A49" w:rsidRPr="00445CB0" w:rsidRDefault="00D93A49" w:rsidP="00885432">
      <w:pPr>
        <w:rPr>
          <w:rFonts w:ascii="ＭＳ ゴシック" w:eastAsia="ＭＳ ゴシック" w:hAnsi="ＭＳ ゴシック" w:hint="eastAsia"/>
        </w:rPr>
      </w:pPr>
    </w:p>
    <w:sectPr w:rsidR="00D93A49" w:rsidRPr="00445CB0" w:rsidSect="00AD2C9B">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32018"/>
    <w:multiLevelType w:val="multilevel"/>
    <w:tmpl w:val="F18C47EC"/>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16cid:durableId="121747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9B"/>
    <w:rsid w:val="00445CB0"/>
    <w:rsid w:val="00885432"/>
    <w:rsid w:val="00932548"/>
    <w:rsid w:val="00AD2C9B"/>
    <w:rsid w:val="00D9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A9B9C"/>
  <w15:chartTrackingRefBased/>
  <w15:docId w15:val="{1F20BB15-C5D2-4FE9-94DD-20CD9761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C9B"/>
    <w:pPr>
      <w:widowControl w:val="0"/>
      <w:suppressAutoHyphens/>
      <w:autoSpaceDN w:val="0"/>
      <w:textAlignment w:val="baseline"/>
    </w:pPr>
    <w:rPr>
      <w:rFonts w:ascii="Liberation Serif" w:eastAsia="ＭＳ 明朝" w:hAnsi="Liberation Serif" w:cs="Lucida Sans"/>
      <w:kern w:val="3"/>
      <w:sz w:val="24"/>
      <w:szCs w:val="24"/>
      <w:lang w:bidi="hi-IN"/>
      <w14:ligatures w14:val="none"/>
    </w:rPr>
  </w:style>
  <w:style w:type="paragraph" w:styleId="1">
    <w:name w:val="heading 1"/>
    <w:basedOn w:val="a"/>
    <w:next w:val="a"/>
    <w:link w:val="10"/>
    <w:uiPriority w:val="9"/>
    <w:qFormat/>
    <w:rsid w:val="00AD2C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D2C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2C9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D2C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2C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2C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2C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2C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2C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2C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D2C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2C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2C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2C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2C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2C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2C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2C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2C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2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C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2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C9B"/>
    <w:pPr>
      <w:spacing w:before="160" w:after="160"/>
      <w:jc w:val="center"/>
    </w:pPr>
    <w:rPr>
      <w:i/>
      <w:iCs/>
      <w:color w:val="404040" w:themeColor="text1" w:themeTint="BF"/>
    </w:rPr>
  </w:style>
  <w:style w:type="character" w:customStyle="1" w:styleId="a8">
    <w:name w:val="引用文 (文字)"/>
    <w:basedOn w:val="a0"/>
    <w:link w:val="a7"/>
    <w:uiPriority w:val="29"/>
    <w:rsid w:val="00AD2C9B"/>
    <w:rPr>
      <w:i/>
      <w:iCs/>
      <w:color w:val="404040" w:themeColor="text1" w:themeTint="BF"/>
    </w:rPr>
  </w:style>
  <w:style w:type="paragraph" w:styleId="a9">
    <w:name w:val="List Paragraph"/>
    <w:basedOn w:val="a"/>
    <w:uiPriority w:val="34"/>
    <w:qFormat/>
    <w:rsid w:val="00AD2C9B"/>
    <w:pPr>
      <w:ind w:left="720"/>
      <w:contextualSpacing/>
    </w:pPr>
  </w:style>
  <w:style w:type="character" w:styleId="21">
    <w:name w:val="Intense Emphasis"/>
    <w:basedOn w:val="a0"/>
    <w:uiPriority w:val="21"/>
    <w:qFormat/>
    <w:rsid w:val="00AD2C9B"/>
    <w:rPr>
      <w:i/>
      <w:iCs/>
      <w:color w:val="0F4761" w:themeColor="accent1" w:themeShade="BF"/>
    </w:rPr>
  </w:style>
  <w:style w:type="paragraph" w:styleId="22">
    <w:name w:val="Intense Quote"/>
    <w:basedOn w:val="a"/>
    <w:next w:val="a"/>
    <w:link w:val="23"/>
    <w:uiPriority w:val="30"/>
    <w:qFormat/>
    <w:rsid w:val="00AD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2C9B"/>
    <w:rPr>
      <w:i/>
      <w:iCs/>
      <w:color w:val="0F4761" w:themeColor="accent1" w:themeShade="BF"/>
    </w:rPr>
  </w:style>
  <w:style w:type="character" w:styleId="24">
    <w:name w:val="Intense Reference"/>
    <w:basedOn w:val="a0"/>
    <w:uiPriority w:val="32"/>
    <w:qFormat/>
    <w:rsid w:val="00AD2C9B"/>
    <w:rPr>
      <w:b/>
      <w:bCs/>
      <w:smallCaps/>
      <w:color w:val="0F4761" w:themeColor="accent1" w:themeShade="BF"/>
      <w:spacing w:val="5"/>
    </w:rPr>
  </w:style>
  <w:style w:type="paragraph" w:customStyle="1" w:styleId="Standard">
    <w:name w:val="Standard"/>
    <w:rsid w:val="00AD2C9B"/>
    <w:pPr>
      <w:suppressAutoHyphens/>
      <w:autoSpaceDN w:val="0"/>
      <w:textAlignment w:val="baseline"/>
    </w:pPr>
    <w:rPr>
      <w:rFonts w:ascii="Liberation Serif" w:eastAsia="ＭＳ 明朝" w:hAnsi="Liberation Serif" w:cs="Lucida Sans"/>
      <w:kern w:val="3"/>
      <w:sz w:val="24"/>
      <w:szCs w:val="24"/>
      <w:lang w:bidi="hi-IN"/>
      <w14:ligatures w14:val="none"/>
    </w:rPr>
  </w:style>
  <w:style w:type="paragraph" w:customStyle="1" w:styleId="Textbody">
    <w:name w:val="Text body"/>
    <w:basedOn w:val="Standard"/>
    <w:rsid w:val="00AD2C9B"/>
    <w:pPr>
      <w:spacing w:after="140" w:line="276" w:lineRule="auto"/>
    </w:pPr>
  </w:style>
  <w:style w:type="character" w:customStyle="1" w:styleId="StrongEmphasis">
    <w:name w:val="Strong Emphasis"/>
    <w:rsid w:val="00AD2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早川恵</dc:creator>
  <cp:keywords/>
  <dc:description/>
  <cp:lastModifiedBy>早川恵</cp:lastModifiedBy>
  <cp:revision>1</cp:revision>
  <dcterms:created xsi:type="dcterms:W3CDTF">2024-09-27T07:34:00Z</dcterms:created>
  <dcterms:modified xsi:type="dcterms:W3CDTF">2024-09-27T08:04:00Z</dcterms:modified>
</cp:coreProperties>
</file>